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5B" w:rsidRPr="007A255B" w:rsidRDefault="007A255B" w:rsidP="00E5758F">
      <w:pPr>
        <w:spacing w:after="0" w:line="240" w:lineRule="auto"/>
        <w:jc w:val="center"/>
        <w:rPr>
          <w:rFonts w:ascii="Times New Roman" w:hAnsi="Times New Roman"/>
          <w:b/>
          <w:sz w:val="24"/>
          <w:szCs w:val="24"/>
        </w:rPr>
      </w:pPr>
      <w:r w:rsidRPr="007A255B">
        <w:rPr>
          <w:rFonts w:ascii="Times New Roman" w:hAnsi="Times New Roman"/>
          <w:b/>
          <w:sz w:val="24"/>
          <w:szCs w:val="24"/>
        </w:rPr>
        <w:t>Pripomienky k návrhu zákona,</w:t>
      </w:r>
    </w:p>
    <w:p w:rsidR="007A255B" w:rsidRPr="007A255B" w:rsidRDefault="007A255B" w:rsidP="00E5758F">
      <w:pPr>
        <w:spacing w:after="0" w:line="240" w:lineRule="auto"/>
        <w:jc w:val="center"/>
        <w:rPr>
          <w:rFonts w:ascii="Times New Roman" w:hAnsi="Times New Roman"/>
          <w:b/>
          <w:sz w:val="24"/>
          <w:szCs w:val="24"/>
        </w:rPr>
      </w:pPr>
      <w:r w:rsidRPr="007A255B">
        <w:rPr>
          <w:rFonts w:ascii="Times New Roman" w:hAnsi="Times New Roman"/>
          <w:b/>
          <w:sz w:val="24"/>
          <w:szCs w:val="24"/>
        </w:rPr>
        <w:t>ktorým sa mení a dopĺňa zákon č. 211/2000 Z. z. o slobodnom prístupe k informáciám</w:t>
      </w:r>
    </w:p>
    <w:p w:rsidR="007A255B" w:rsidRPr="007A255B" w:rsidRDefault="007A255B" w:rsidP="00E5758F">
      <w:pPr>
        <w:spacing w:after="0" w:line="240" w:lineRule="auto"/>
        <w:jc w:val="both"/>
        <w:rPr>
          <w:rFonts w:ascii="Times New Roman" w:hAnsi="Times New Roman"/>
          <w:sz w:val="24"/>
          <w:szCs w:val="24"/>
        </w:rPr>
      </w:pPr>
    </w:p>
    <w:p w:rsidR="007A255B" w:rsidRPr="007A255B" w:rsidRDefault="007A255B" w:rsidP="00E5758F">
      <w:pPr>
        <w:spacing w:line="240" w:lineRule="auto"/>
        <w:jc w:val="both"/>
        <w:rPr>
          <w:rFonts w:ascii="Times New Roman" w:hAnsi="Times New Roman"/>
        </w:rPr>
      </w:pPr>
      <w:r w:rsidRPr="007A255B">
        <w:rPr>
          <w:rFonts w:ascii="Times New Roman" w:hAnsi="Times New Roman"/>
        </w:rPr>
        <w:t>(</w:t>
      </w:r>
      <w:hyperlink r:id="rId7" w:history="1">
        <w:r w:rsidRPr="007A255B">
          <w:rPr>
            <w:rStyle w:val="Hyperlink"/>
            <w:rFonts w:ascii="Times New Roman" w:hAnsi="Times New Roman"/>
            <w:lang w:eastAsia="zh-CN"/>
          </w:rPr>
          <w:t>https://lt.justice.gov.sk/Material/MaterialHome.aspx?instEID=-1&amp;matEID=7993&amp;langEID=1</w:t>
        </w:r>
      </w:hyperlink>
      <w:r w:rsidRPr="007A255B">
        <w:rPr>
          <w:rFonts w:ascii="Times New Roman" w:hAnsi="Times New Roman"/>
        </w:rPr>
        <w:t>)</w:t>
      </w:r>
    </w:p>
    <w:p w:rsidR="00DA38E0" w:rsidRPr="00C657E4" w:rsidRDefault="00DA38E0" w:rsidP="00E5758F">
      <w:pPr>
        <w:spacing w:line="240" w:lineRule="auto"/>
        <w:jc w:val="both"/>
        <w:rPr>
          <w:rFonts w:ascii="Times New Roman" w:hAnsi="Times New Roman"/>
          <w:sz w:val="24"/>
          <w:szCs w:val="24"/>
        </w:rPr>
      </w:pPr>
    </w:p>
    <w:p w:rsidR="000407FD" w:rsidRDefault="00C657E4" w:rsidP="00E5758F">
      <w:pPr>
        <w:spacing w:line="240" w:lineRule="auto"/>
        <w:jc w:val="both"/>
        <w:rPr>
          <w:rFonts w:ascii="Times New Roman" w:hAnsi="Times New Roman"/>
          <w:b/>
          <w:sz w:val="24"/>
          <w:szCs w:val="24"/>
        </w:rPr>
      </w:pPr>
      <w:r w:rsidRPr="00C657E4">
        <w:rPr>
          <w:rFonts w:ascii="Times New Roman" w:hAnsi="Times New Roman"/>
          <w:b/>
          <w:sz w:val="24"/>
          <w:szCs w:val="24"/>
        </w:rPr>
        <w:t xml:space="preserve">1. </w:t>
      </w:r>
      <w:r w:rsidR="000407FD">
        <w:rPr>
          <w:rFonts w:ascii="Times New Roman" w:hAnsi="Times New Roman"/>
          <w:b/>
          <w:sz w:val="24"/>
          <w:szCs w:val="24"/>
        </w:rPr>
        <w:t>Spresnenie definície štátom, župami a mestami väčšinovo vlastnených firiem ako povinných osôb</w:t>
      </w:r>
    </w:p>
    <w:p w:rsidR="00FE187C" w:rsidRPr="00FE187C" w:rsidRDefault="00DA6359" w:rsidP="000407FD">
      <w:pPr>
        <w:spacing w:line="240" w:lineRule="auto"/>
        <w:jc w:val="both"/>
        <w:rPr>
          <w:rFonts w:ascii="Times New Roman" w:hAnsi="Times New Roman"/>
          <w:b/>
          <w:bCs/>
          <w:i/>
          <w:sz w:val="24"/>
          <w:szCs w:val="24"/>
          <w:lang w:eastAsia="sk-SK"/>
        </w:rPr>
      </w:pPr>
      <w:r>
        <w:rPr>
          <w:rFonts w:ascii="Times New Roman" w:hAnsi="Times New Roman"/>
          <w:sz w:val="24"/>
          <w:szCs w:val="24"/>
        </w:rPr>
        <w:t>V § 2 sa mení odsek 3 a znie:</w:t>
      </w:r>
    </w:p>
    <w:p w:rsidR="00DA6359" w:rsidRPr="0062114F" w:rsidRDefault="00DA6359" w:rsidP="00DA6359">
      <w:pPr>
        <w:spacing w:line="240" w:lineRule="auto"/>
        <w:jc w:val="both"/>
        <w:rPr>
          <w:rFonts w:ascii="Times New Roman" w:hAnsi="Times New Roman"/>
          <w:bCs/>
          <w:sz w:val="24"/>
          <w:szCs w:val="24"/>
        </w:rPr>
      </w:pPr>
      <w:r w:rsidRPr="0062114F">
        <w:rPr>
          <w:rFonts w:ascii="Times New Roman" w:hAnsi="Times New Roman"/>
          <w:bCs/>
          <w:sz w:val="24"/>
          <w:szCs w:val="24"/>
        </w:rPr>
        <w:t>„Povinnou osobou je aj právnická osoba založená alebo zriadená povinnou osobou podľa ods. 1 alebo 2, ak</w:t>
      </w:r>
    </w:p>
    <w:p w:rsidR="00DA6359" w:rsidRPr="0062114F" w:rsidRDefault="00DA6359" w:rsidP="00DA6359">
      <w:pPr>
        <w:spacing w:line="240" w:lineRule="auto"/>
        <w:jc w:val="both"/>
        <w:rPr>
          <w:rFonts w:ascii="Times New Roman" w:hAnsi="Times New Roman"/>
          <w:bCs/>
          <w:sz w:val="24"/>
          <w:szCs w:val="24"/>
        </w:rPr>
      </w:pPr>
      <w:r w:rsidRPr="0062114F">
        <w:rPr>
          <w:rFonts w:ascii="Times New Roman" w:hAnsi="Times New Roman"/>
          <w:bCs/>
          <w:sz w:val="24"/>
          <w:szCs w:val="24"/>
        </w:rPr>
        <w:t>a) je úplne alebo z väčšej časti financovaná povinnými osobami podľa ods. 1 a 2 alebo</w:t>
      </w:r>
    </w:p>
    <w:p w:rsidR="00DA6359" w:rsidRPr="0062114F" w:rsidRDefault="00DA6359" w:rsidP="00DA6359">
      <w:pPr>
        <w:spacing w:line="240" w:lineRule="auto"/>
        <w:jc w:val="both"/>
        <w:rPr>
          <w:rFonts w:ascii="Times New Roman" w:hAnsi="Times New Roman"/>
          <w:bCs/>
          <w:sz w:val="24"/>
          <w:szCs w:val="24"/>
        </w:rPr>
      </w:pPr>
      <w:r w:rsidRPr="0062114F">
        <w:rPr>
          <w:rFonts w:ascii="Times New Roman" w:hAnsi="Times New Roman"/>
          <w:bCs/>
          <w:sz w:val="24"/>
          <w:szCs w:val="24"/>
        </w:rPr>
        <w:t>b) je kontrolovaná povinnými osobami podľa ods. 1 a 2 alebo</w:t>
      </w:r>
    </w:p>
    <w:p w:rsidR="00DA6359" w:rsidRPr="0062114F" w:rsidRDefault="00DA6359" w:rsidP="00DA6359">
      <w:pPr>
        <w:spacing w:line="240" w:lineRule="auto"/>
        <w:jc w:val="both"/>
        <w:rPr>
          <w:rFonts w:ascii="Times New Roman" w:hAnsi="Times New Roman"/>
          <w:bCs/>
          <w:sz w:val="24"/>
          <w:szCs w:val="24"/>
        </w:rPr>
      </w:pPr>
      <w:r w:rsidRPr="0062114F">
        <w:rPr>
          <w:rFonts w:ascii="Times New Roman" w:hAnsi="Times New Roman"/>
          <w:bCs/>
          <w:sz w:val="24"/>
          <w:szCs w:val="24"/>
        </w:rPr>
        <w:t>c) povinné osoby podľa odseku 1 alebo 2 vymenúvajú alebo volia viac ako polovicu členov jej riadiaceho orgánu alebo kontrolného orgánu.</w:t>
      </w:r>
    </w:p>
    <w:p w:rsidR="00DA6359" w:rsidRPr="0062114F" w:rsidRDefault="00DA6359" w:rsidP="00DA6359">
      <w:pPr>
        <w:spacing w:line="240" w:lineRule="auto"/>
        <w:jc w:val="both"/>
        <w:rPr>
          <w:rFonts w:ascii="Times New Roman" w:hAnsi="Times New Roman"/>
          <w:bCs/>
          <w:sz w:val="24"/>
          <w:szCs w:val="24"/>
        </w:rPr>
      </w:pPr>
      <w:r w:rsidRPr="0062114F">
        <w:rPr>
          <w:rFonts w:ascii="Times New Roman" w:hAnsi="Times New Roman"/>
          <w:bCs/>
          <w:sz w:val="24"/>
          <w:szCs w:val="24"/>
        </w:rPr>
        <w:t>Ak táto povinná osoba neposkytuje verejné služby a ak by sprístupnenie požadovanej informácie mohlo spôsobiť tejto povinnej osobe závažnú ujmu v hospodárskej súťaži a ak zároveň záujem tejto povinnej osoby na ochrane požadovaných informácií prevažuje nad právom verejnosti na prístup k požadovaným informáciám, na návrh tejto povinnej osoby môže súd rozhodnúť, že povinná osoba nie je povinná sprístupniť požadovanú informáciu. Povinná osoba zverejní na svojom webovom sídle návrh na súd bezodkladne po jeho podaní.“</w:t>
      </w:r>
    </w:p>
    <w:p w:rsidR="00FE187C" w:rsidRDefault="00FE187C" w:rsidP="00E5758F">
      <w:pPr>
        <w:spacing w:line="240" w:lineRule="auto"/>
        <w:jc w:val="both"/>
        <w:rPr>
          <w:b/>
          <w:bCs/>
        </w:rPr>
      </w:pPr>
    </w:p>
    <w:p w:rsidR="00456EF0" w:rsidRPr="00456EF0" w:rsidRDefault="0017047A" w:rsidP="00E5758F">
      <w:pPr>
        <w:spacing w:line="240" w:lineRule="auto"/>
        <w:jc w:val="both"/>
        <w:rPr>
          <w:rFonts w:ascii="Times New Roman" w:hAnsi="Times New Roman"/>
          <w:sz w:val="24"/>
          <w:szCs w:val="24"/>
        </w:rPr>
      </w:pPr>
      <w:r w:rsidRPr="00456EF0">
        <w:rPr>
          <w:rFonts w:ascii="Times New Roman" w:hAnsi="Times New Roman"/>
          <w:sz w:val="24"/>
          <w:szCs w:val="24"/>
          <w:u w:val="single"/>
        </w:rPr>
        <w:t>Odôvodnenie</w:t>
      </w:r>
      <w:r w:rsidRPr="00456EF0">
        <w:rPr>
          <w:rFonts w:ascii="Times New Roman" w:hAnsi="Times New Roman"/>
          <w:sz w:val="24"/>
          <w:szCs w:val="24"/>
        </w:rPr>
        <w:t xml:space="preserve">: </w:t>
      </w:r>
    </w:p>
    <w:p w:rsidR="0062114F" w:rsidRPr="0062114F" w:rsidRDefault="0062114F" w:rsidP="0062114F">
      <w:pPr>
        <w:pStyle w:val="FootnoteText"/>
        <w:jc w:val="both"/>
        <w:rPr>
          <w:rFonts w:ascii="Times New Roman" w:hAnsi="Times New Roman"/>
          <w:bCs/>
          <w:sz w:val="24"/>
          <w:szCs w:val="24"/>
        </w:rPr>
      </w:pPr>
      <w:r w:rsidRPr="0062114F">
        <w:rPr>
          <w:rFonts w:ascii="Times New Roman" w:hAnsi="Times New Roman"/>
          <w:bCs/>
          <w:sz w:val="24"/>
          <w:szCs w:val="24"/>
        </w:rPr>
        <w:t xml:space="preserve">Viaceré obchodné spoločnosti uvedené v § 2 ods. 3 zákona o informáciách odmietajú sprístupňovať informácie o svojej činnosti a konštatujú najmä, že nehospodária s verejnými prostriedkami a ani nenakladajú s majetkom štátu, majetkom vyššieho územného celku alebo majetkom obce. Práve rozsah povinnosti určený v § 3 ods. 2  písm. a) a b) zákona o informáciách je najčastejším dôvodom pre odmietnutie sprístupniť informácie napríklad o hospodárení takejto spoločnosti. </w:t>
      </w:r>
    </w:p>
    <w:p w:rsidR="0062114F" w:rsidRPr="0062114F" w:rsidRDefault="0062114F" w:rsidP="0062114F">
      <w:pPr>
        <w:pStyle w:val="FootnoteText"/>
        <w:tabs>
          <w:tab w:val="left" w:pos="2595"/>
        </w:tabs>
        <w:rPr>
          <w:rFonts w:ascii="Times New Roman" w:hAnsi="Times New Roman"/>
          <w:bCs/>
          <w:sz w:val="24"/>
          <w:szCs w:val="24"/>
        </w:rPr>
      </w:pPr>
      <w:r w:rsidRPr="0062114F">
        <w:rPr>
          <w:rFonts w:ascii="Times New Roman" w:hAnsi="Times New Roman"/>
          <w:bCs/>
          <w:sz w:val="24"/>
          <w:szCs w:val="24"/>
        </w:rPr>
        <w:tab/>
      </w:r>
    </w:p>
    <w:p w:rsidR="0062114F" w:rsidRPr="0062114F" w:rsidRDefault="0062114F" w:rsidP="0062114F">
      <w:pPr>
        <w:pStyle w:val="FootnoteText"/>
        <w:jc w:val="both"/>
        <w:rPr>
          <w:rFonts w:ascii="Times New Roman" w:hAnsi="Times New Roman"/>
          <w:bCs/>
          <w:sz w:val="24"/>
          <w:szCs w:val="24"/>
        </w:rPr>
      </w:pPr>
      <w:r w:rsidRPr="0062114F">
        <w:rPr>
          <w:rFonts w:ascii="Times New Roman" w:hAnsi="Times New Roman"/>
          <w:bCs/>
          <w:sz w:val="24"/>
          <w:szCs w:val="24"/>
        </w:rPr>
        <w:t xml:space="preserve">Obchodné spoločnosti uvedené v § 2 ods. 3 zákona o informáciách tiež tvrdia, že  nenakladajú s majetkom štátu, majetkom vyššieho územného celku ani majetkom obce. Vo vlastníctve štátu sa majú nachádzať iba akcie, emitované obchodnou spoločnosťou. Výkon práv akcionára spojených s týmito akciami nevykonáva obchodná spoločnosť, nakoľko nie je akcionárom, ale príslušné ministerstvo. Následne hospodárenie spoločnosti (nadobúdanie a predaj majetku, obchodné zmluvy, rozhodovanie o zisku a podobne) podľa tohto názoru už nie je nakladaním s majetkom napríklad štátu, ale majetkom samotnej obchodnej spoločnosti.  </w:t>
      </w:r>
    </w:p>
    <w:p w:rsidR="0062114F" w:rsidRPr="0062114F" w:rsidRDefault="0062114F" w:rsidP="0062114F">
      <w:pPr>
        <w:pStyle w:val="FootnoteText"/>
        <w:rPr>
          <w:rFonts w:ascii="Times New Roman" w:hAnsi="Times New Roman"/>
          <w:bCs/>
          <w:sz w:val="24"/>
          <w:szCs w:val="24"/>
        </w:rPr>
      </w:pPr>
    </w:p>
    <w:p w:rsidR="0062114F" w:rsidRPr="0062114F" w:rsidRDefault="0062114F" w:rsidP="008E35C1">
      <w:pPr>
        <w:pStyle w:val="FootnoteText"/>
        <w:jc w:val="both"/>
        <w:rPr>
          <w:rFonts w:ascii="Times New Roman" w:hAnsi="Times New Roman"/>
          <w:bCs/>
          <w:sz w:val="24"/>
          <w:szCs w:val="24"/>
        </w:rPr>
      </w:pPr>
      <w:r w:rsidRPr="0062114F">
        <w:rPr>
          <w:rFonts w:ascii="Times New Roman" w:hAnsi="Times New Roman"/>
          <w:bCs/>
          <w:sz w:val="24"/>
          <w:szCs w:val="24"/>
        </w:rPr>
        <w:t>Priamym dôsledkom uplatňovania vyššie uvedených výkladov je obmedzenie Ústavou SR garantovaného práva na informácie a významné zabránenie verejnej kontroly majetku, ktorý vlastní štát alebo územnosprávny celok.</w:t>
      </w:r>
    </w:p>
    <w:p w:rsidR="0062114F" w:rsidRDefault="0062114F" w:rsidP="0062114F">
      <w:pPr>
        <w:pStyle w:val="FootnoteText"/>
        <w:rPr>
          <w:rFonts w:ascii="Times New Roman" w:hAnsi="Times New Roman"/>
          <w:bCs/>
          <w:sz w:val="24"/>
          <w:szCs w:val="24"/>
        </w:rPr>
      </w:pPr>
    </w:p>
    <w:p w:rsidR="0062114F" w:rsidRPr="0062114F" w:rsidRDefault="0062114F" w:rsidP="0062114F">
      <w:pPr>
        <w:pStyle w:val="FootnoteText"/>
        <w:jc w:val="both"/>
        <w:rPr>
          <w:rFonts w:ascii="Times New Roman" w:hAnsi="Times New Roman"/>
          <w:bCs/>
          <w:sz w:val="24"/>
          <w:szCs w:val="24"/>
        </w:rPr>
      </w:pPr>
      <w:r w:rsidRPr="0062114F">
        <w:rPr>
          <w:rFonts w:ascii="Times New Roman" w:hAnsi="Times New Roman"/>
          <w:bCs/>
          <w:sz w:val="24"/>
          <w:szCs w:val="24"/>
        </w:rPr>
        <w:t>Ústavný súd SR v náleze sp. zn. I. ÚS 236/06 uviedol, že hoci ústavnú povinnosť poskytovať informácie o svojej činnosti majú v zmysle čl. 26 ods. 5 ústavy iba orgány verejnej moci, zákonom o slobode informácií bol okruh povinných subjektov rozšírený aj o také subjekty, ktoré za orgány verejnej moci považovať nemožno. Ďalej treba konštatovať, že všetky povinné osoby vyplývajúce z ustanovenia § 2 ods. 1, 2 a 3 zákona o slobode informácií majú v zásade ratione materiae plnú informačnú povinnosť v rozsahu svojej činnosti. Právnické osoby založené povinnými osobami uvedenými v ods. 1 a 2 spĺňajú spravidla jeden charakteristický znak. Hospodária totiž s verejnými financiami, resp. nakladajú s majetkom štátu a obcí, keďže sú zriadené s majetkovou účasťou povinných osôb podľa § 2 ods. 1 a 2 zákona o slobode informácií. Práva a povinnosti orgánov verejnej moci nerealizujú a spravidla sú kreované na základe zákonov patriacich do oblasti súkromného práva.</w:t>
      </w:r>
      <w:r>
        <w:rPr>
          <w:rFonts w:ascii="Times New Roman" w:hAnsi="Times New Roman"/>
          <w:bCs/>
          <w:sz w:val="24"/>
          <w:szCs w:val="24"/>
        </w:rPr>
        <w:t xml:space="preserve"> (</w:t>
      </w:r>
      <w:r w:rsidRPr="0062114F">
        <w:rPr>
          <w:rFonts w:ascii="Times New Roman" w:hAnsi="Times New Roman"/>
          <w:bCs/>
          <w:sz w:val="24"/>
          <w:szCs w:val="24"/>
        </w:rPr>
        <w:t xml:space="preserve">Nález Ústavného súdu sp. zn. I. ÚS 236/06 </w:t>
      </w:r>
      <w:r w:rsidRPr="0062114F">
        <w:rPr>
          <w:rFonts w:ascii="Times New Roman" w:hAnsi="Times New Roman"/>
          <w:sz w:val="24"/>
          <w:szCs w:val="24"/>
        </w:rPr>
        <w:t>zo dňa 28. júna 2007</w:t>
      </w:r>
      <w:r>
        <w:rPr>
          <w:rFonts w:ascii="Times New Roman" w:hAnsi="Times New Roman"/>
          <w:sz w:val="24"/>
          <w:szCs w:val="24"/>
        </w:rPr>
        <w:t>)</w:t>
      </w:r>
    </w:p>
    <w:p w:rsidR="0062114F" w:rsidRPr="0062114F" w:rsidRDefault="0062114F" w:rsidP="00E5758F">
      <w:pPr>
        <w:spacing w:line="240" w:lineRule="auto"/>
        <w:jc w:val="both"/>
        <w:rPr>
          <w:rFonts w:ascii="Times New Roman" w:hAnsi="Times New Roman"/>
          <w:sz w:val="24"/>
          <w:szCs w:val="24"/>
        </w:rPr>
      </w:pPr>
    </w:p>
    <w:p w:rsidR="0062114F" w:rsidRPr="0062114F" w:rsidRDefault="0062114F" w:rsidP="00E5758F">
      <w:pPr>
        <w:spacing w:line="240" w:lineRule="auto"/>
        <w:jc w:val="both"/>
        <w:rPr>
          <w:rFonts w:ascii="Times New Roman" w:hAnsi="Times New Roman"/>
          <w:sz w:val="24"/>
          <w:szCs w:val="24"/>
        </w:rPr>
      </w:pPr>
      <w:r w:rsidRPr="0062114F">
        <w:rPr>
          <w:rFonts w:ascii="Times New Roman" w:hAnsi="Times New Roman"/>
          <w:sz w:val="24"/>
          <w:szCs w:val="24"/>
        </w:rPr>
        <w:t xml:space="preserve">Navrhovaná úprava teda </w:t>
      </w:r>
      <w:r w:rsidR="008E35C1" w:rsidRPr="0062114F">
        <w:rPr>
          <w:rFonts w:ascii="Times New Roman" w:hAnsi="Times New Roman"/>
          <w:sz w:val="24"/>
          <w:szCs w:val="24"/>
        </w:rPr>
        <w:t>spresňuje</w:t>
      </w:r>
      <w:r w:rsidRPr="0062114F">
        <w:rPr>
          <w:rFonts w:ascii="Times New Roman" w:hAnsi="Times New Roman"/>
          <w:sz w:val="24"/>
          <w:szCs w:val="24"/>
        </w:rPr>
        <w:t xml:space="preserve"> dnes platný právny stav a usmerňuje obchodné spoločnosti, ktoré často konajú v rozpore s vyššie uvedeným Nálezom Ústavného súdu.</w:t>
      </w:r>
    </w:p>
    <w:p w:rsidR="0062114F" w:rsidRPr="0062114F" w:rsidRDefault="0062114F" w:rsidP="00E5758F">
      <w:pPr>
        <w:spacing w:line="240" w:lineRule="auto"/>
        <w:jc w:val="both"/>
        <w:rPr>
          <w:rFonts w:ascii="Times New Roman" w:hAnsi="Times New Roman"/>
          <w:sz w:val="24"/>
          <w:szCs w:val="24"/>
        </w:rPr>
      </w:pPr>
      <w:r w:rsidRPr="0062114F">
        <w:rPr>
          <w:rFonts w:ascii="Times New Roman" w:hAnsi="Times New Roman"/>
          <w:sz w:val="24"/>
          <w:szCs w:val="24"/>
        </w:rPr>
        <w:t xml:space="preserve">Súčasne navrhujeme mechanizmus prostredníctvom ktorého bude môcť táto povinná osoba požiadať o zúženie svojej informačnej povinnosti, ak by hrozilo spôsobenie závažnej </w:t>
      </w:r>
      <w:r w:rsidR="008E35C1" w:rsidRPr="0062114F">
        <w:rPr>
          <w:rFonts w:ascii="Times New Roman" w:hAnsi="Times New Roman"/>
          <w:sz w:val="24"/>
          <w:szCs w:val="24"/>
        </w:rPr>
        <w:t>ujmy</w:t>
      </w:r>
      <w:r w:rsidRPr="0062114F">
        <w:rPr>
          <w:rFonts w:ascii="Times New Roman" w:hAnsi="Times New Roman"/>
          <w:sz w:val="24"/>
          <w:szCs w:val="24"/>
        </w:rPr>
        <w:t xml:space="preserve"> v </w:t>
      </w:r>
      <w:r w:rsidR="008E35C1" w:rsidRPr="0062114F">
        <w:rPr>
          <w:rFonts w:ascii="Times New Roman" w:hAnsi="Times New Roman"/>
          <w:sz w:val="24"/>
          <w:szCs w:val="24"/>
        </w:rPr>
        <w:t>hospodárskej</w:t>
      </w:r>
      <w:r w:rsidRPr="0062114F">
        <w:rPr>
          <w:rFonts w:ascii="Times New Roman" w:hAnsi="Times New Roman"/>
          <w:sz w:val="24"/>
          <w:szCs w:val="24"/>
        </w:rPr>
        <w:t xml:space="preserve"> súťaži.</w:t>
      </w:r>
    </w:p>
    <w:p w:rsidR="0062114F" w:rsidRDefault="0062114F" w:rsidP="00E5758F">
      <w:pPr>
        <w:spacing w:line="240" w:lineRule="auto"/>
        <w:jc w:val="both"/>
        <w:rPr>
          <w:rFonts w:ascii="Times New Roman" w:hAnsi="Times New Roman"/>
          <w:b/>
          <w:sz w:val="24"/>
          <w:szCs w:val="24"/>
        </w:rPr>
      </w:pPr>
    </w:p>
    <w:p w:rsidR="00522570" w:rsidRPr="00AD014D" w:rsidRDefault="00AD014D" w:rsidP="00E5758F">
      <w:pPr>
        <w:spacing w:line="240" w:lineRule="auto"/>
        <w:jc w:val="both"/>
        <w:rPr>
          <w:rFonts w:ascii="Times New Roman" w:hAnsi="Times New Roman"/>
          <w:b/>
          <w:sz w:val="24"/>
          <w:szCs w:val="24"/>
        </w:rPr>
      </w:pPr>
      <w:r w:rsidRPr="00AD014D">
        <w:rPr>
          <w:rFonts w:ascii="Times New Roman" w:hAnsi="Times New Roman"/>
          <w:b/>
          <w:sz w:val="24"/>
          <w:szCs w:val="24"/>
        </w:rPr>
        <w:t>2.</w:t>
      </w:r>
    </w:p>
    <w:p w:rsidR="00AD014D" w:rsidRDefault="00AD014D" w:rsidP="00E5758F">
      <w:pPr>
        <w:spacing w:line="240" w:lineRule="auto"/>
        <w:jc w:val="both"/>
        <w:rPr>
          <w:rFonts w:ascii="Times New Roman" w:hAnsi="Times New Roman"/>
          <w:b/>
          <w:sz w:val="24"/>
          <w:szCs w:val="24"/>
        </w:rPr>
      </w:pPr>
      <w:r>
        <w:rPr>
          <w:rFonts w:ascii="Times New Roman" w:hAnsi="Times New Roman"/>
          <w:b/>
          <w:sz w:val="24"/>
          <w:szCs w:val="24"/>
        </w:rPr>
        <w:t>K</w:t>
      </w:r>
      <w:r w:rsidR="000407FD">
        <w:rPr>
          <w:rFonts w:ascii="Times New Roman" w:hAnsi="Times New Roman"/>
          <w:b/>
          <w:sz w:val="24"/>
          <w:szCs w:val="24"/>
        </w:rPr>
        <w:t> zavedeni</w:t>
      </w:r>
      <w:r w:rsidR="00E0230C">
        <w:rPr>
          <w:rFonts w:ascii="Times New Roman" w:hAnsi="Times New Roman"/>
          <w:b/>
          <w:sz w:val="24"/>
          <w:szCs w:val="24"/>
        </w:rPr>
        <w:t>u</w:t>
      </w:r>
      <w:r w:rsidR="000407FD">
        <w:rPr>
          <w:rFonts w:ascii="Times New Roman" w:hAnsi="Times New Roman"/>
          <w:b/>
          <w:sz w:val="24"/>
          <w:szCs w:val="24"/>
        </w:rPr>
        <w:t xml:space="preserve"> možnosti vládou schváliť limit pre zverejňovanie zoznamu faktúr</w:t>
      </w:r>
    </w:p>
    <w:p w:rsidR="00DA38E0" w:rsidRPr="00AD014D" w:rsidRDefault="00AD014D" w:rsidP="00E5758F">
      <w:pPr>
        <w:spacing w:line="240" w:lineRule="auto"/>
        <w:jc w:val="both"/>
        <w:rPr>
          <w:rFonts w:ascii="Times New Roman" w:hAnsi="Times New Roman"/>
          <w:sz w:val="24"/>
          <w:szCs w:val="24"/>
        </w:rPr>
      </w:pPr>
      <w:r>
        <w:rPr>
          <w:rFonts w:ascii="Times New Roman" w:hAnsi="Times New Roman"/>
          <w:sz w:val="24"/>
          <w:szCs w:val="24"/>
        </w:rPr>
        <w:t>V bode 2</w:t>
      </w:r>
      <w:r w:rsidR="000407FD">
        <w:rPr>
          <w:rFonts w:ascii="Times New Roman" w:hAnsi="Times New Roman"/>
          <w:sz w:val="24"/>
          <w:szCs w:val="24"/>
        </w:rPr>
        <w:t>8</w:t>
      </w:r>
      <w:r>
        <w:rPr>
          <w:rFonts w:ascii="Times New Roman" w:hAnsi="Times New Roman"/>
          <w:sz w:val="24"/>
          <w:szCs w:val="24"/>
        </w:rPr>
        <w:t xml:space="preserve"> n</w:t>
      </w:r>
      <w:r w:rsidRPr="00AD014D">
        <w:rPr>
          <w:rFonts w:ascii="Times New Roman" w:hAnsi="Times New Roman"/>
          <w:sz w:val="24"/>
          <w:szCs w:val="24"/>
        </w:rPr>
        <w:t xml:space="preserve">avrhujeme z navrhovaného znenia </w:t>
      </w:r>
      <w:r w:rsidR="007E361C" w:rsidRPr="00AD014D">
        <w:rPr>
          <w:rFonts w:ascii="Times New Roman" w:hAnsi="Times New Roman"/>
          <w:sz w:val="24"/>
          <w:szCs w:val="24"/>
        </w:rPr>
        <w:t xml:space="preserve">§ </w:t>
      </w:r>
      <w:r w:rsidR="000407FD">
        <w:rPr>
          <w:rFonts w:ascii="Times New Roman" w:hAnsi="Times New Roman"/>
          <w:sz w:val="24"/>
          <w:szCs w:val="24"/>
        </w:rPr>
        <w:t>5a</w:t>
      </w:r>
      <w:r w:rsidRPr="00AD014D">
        <w:rPr>
          <w:rFonts w:ascii="Times New Roman" w:hAnsi="Times New Roman"/>
          <w:sz w:val="24"/>
          <w:szCs w:val="24"/>
        </w:rPr>
        <w:t xml:space="preserve"> vypustiť odsek</w:t>
      </w:r>
      <w:r w:rsidR="000407FD">
        <w:rPr>
          <w:rFonts w:ascii="Times New Roman" w:hAnsi="Times New Roman"/>
          <w:sz w:val="24"/>
          <w:szCs w:val="24"/>
        </w:rPr>
        <w:t>y</w:t>
      </w:r>
      <w:r w:rsidRPr="00AD014D">
        <w:rPr>
          <w:rFonts w:ascii="Times New Roman" w:hAnsi="Times New Roman"/>
          <w:sz w:val="24"/>
          <w:szCs w:val="24"/>
        </w:rPr>
        <w:t xml:space="preserve"> </w:t>
      </w:r>
      <w:r w:rsidR="000407FD">
        <w:rPr>
          <w:rFonts w:ascii="Times New Roman" w:hAnsi="Times New Roman"/>
          <w:sz w:val="24"/>
          <w:szCs w:val="24"/>
        </w:rPr>
        <w:t>5 a 6</w:t>
      </w:r>
      <w:r w:rsidRPr="00AD014D">
        <w:rPr>
          <w:rFonts w:ascii="Times New Roman" w:hAnsi="Times New Roman"/>
          <w:sz w:val="24"/>
          <w:szCs w:val="24"/>
        </w:rPr>
        <w:t>.</w:t>
      </w:r>
    </w:p>
    <w:p w:rsidR="00456EF0" w:rsidRPr="00456EF0" w:rsidRDefault="00AD014D" w:rsidP="00E5758F">
      <w:pPr>
        <w:pBdr>
          <w:bottom w:val="single" w:sz="6" w:space="1" w:color="auto"/>
        </w:pBdr>
        <w:spacing w:line="240" w:lineRule="auto"/>
        <w:jc w:val="both"/>
        <w:rPr>
          <w:rFonts w:ascii="Times New Roman" w:hAnsi="Times New Roman"/>
          <w:sz w:val="24"/>
          <w:szCs w:val="24"/>
        </w:rPr>
      </w:pPr>
      <w:r w:rsidRPr="00456EF0">
        <w:rPr>
          <w:rFonts w:ascii="Times New Roman" w:hAnsi="Times New Roman"/>
          <w:sz w:val="24"/>
          <w:szCs w:val="24"/>
          <w:u w:val="single"/>
        </w:rPr>
        <w:t>Odôvodnenie</w:t>
      </w:r>
      <w:r w:rsidRPr="00456EF0">
        <w:rPr>
          <w:rFonts w:ascii="Times New Roman" w:hAnsi="Times New Roman"/>
          <w:sz w:val="24"/>
          <w:szCs w:val="24"/>
        </w:rPr>
        <w:t xml:space="preserve">: </w:t>
      </w:r>
    </w:p>
    <w:p w:rsidR="004D0132" w:rsidRDefault="000407FD" w:rsidP="00E5758F">
      <w:pPr>
        <w:pBdr>
          <w:bottom w:val="single" w:sz="6" w:space="1" w:color="auto"/>
        </w:pBdr>
        <w:spacing w:line="240" w:lineRule="auto"/>
        <w:jc w:val="both"/>
        <w:rPr>
          <w:rFonts w:ascii="Times New Roman" w:hAnsi="Times New Roman"/>
          <w:sz w:val="24"/>
          <w:szCs w:val="24"/>
        </w:rPr>
      </w:pPr>
      <w:r>
        <w:rPr>
          <w:rFonts w:ascii="Times New Roman" w:hAnsi="Times New Roman"/>
          <w:sz w:val="24"/>
          <w:szCs w:val="24"/>
        </w:rPr>
        <w:t>Zverejňovanie zoznamov objednávok a faktúr prináša veľkú mieru transparent</w:t>
      </w:r>
      <w:r w:rsidR="00AC19B9">
        <w:rPr>
          <w:rFonts w:ascii="Times New Roman" w:hAnsi="Times New Roman"/>
          <w:sz w:val="24"/>
          <w:szCs w:val="24"/>
        </w:rPr>
        <w:t>n</w:t>
      </w:r>
      <w:r>
        <w:rPr>
          <w:rFonts w:ascii="Times New Roman" w:hAnsi="Times New Roman"/>
          <w:sz w:val="24"/>
          <w:szCs w:val="24"/>
        </w:rPr>
        <w:t>osti za minimálne náklady, keď</w:t>
      </w:r>
      <w:r w:rsidR="00AC19B9">
        <w:rPr>
          <w:rFonts w:ascii="Times New Roman" w:hAnsi="Times New Roman"/>
          <w:sz w:val="24"/>
          <w:szCs w:val="24"/>
        </w:rPr>
        <w:t>že</w:t>
      </w:r>
      <w:r>
        <w:rPr>
          <w:rFonts w:ascii="Times New Roman" w:hAnsi="Times New Roman"/>
          <w:sz w:val="24"/>
          <w:szCs w:val="24"/>
        </w:rPr>
        <w:t xml:space="preserve"> sa zverejňuj</w:t>
      </w:r>
      <w:r w:rsidR="00AC19B9">
        <w:rPr>
          <w:rFonts w:ascii="Times New Roman" w:hAnsi="Times New Roman"/>
          <w:sz w:val="24"/>
          <w:szCs w:val="24"/>
        </w:rPr>
        <w:t>ú</w:t>
      </w:r>
      <w:r>
        <w:rPr>
          <w:rFonts w:ascii="Times New Roman" w:hAnsi="Times New Roman"/>
          <w:sz w:val="24"/>
          <w:szCs w:val="24"/>
        </w:rPr>
        <w:t xml:space="preserve"> len zoznamy, čo musí každá obec mať </w:t>
      </w:r>
      <w:r w:rsidR="00E0230C">
        <w:rPr>
          <w:rFonts w:ascii="Times New Roman" w:hAnsi="Times New Roman"/>
          <w:sz w:val="24"/>
          <w:szCs w:val="24"/>
        </w:rPr>
        <w:t xml:space="preserve">povinne </w:t>
      </w:r>
      <w:r>
        <w:rPr>
          <w:rFonts w:ascii="Times New Roman" w:hAnsi="Times New Roman"/>
          <w:sz w:val="24"/>
          <w:szCs w:val="24"/>
        </w:rPr>
        <w:t xml:space="preserve">v účtovníctve. </w:t>
      </w:r>
      <w:r w:rsidR="00AC19B9">
        <w:rPr>
          <w:rFonts w:ascii="Times New Roman" w:hAnsi="Times New Roman"/>
          <w:sz w:val="24"/>
          <w:szCs w:val="24"/>
        </w:rPr>
        <w:t xml:space="preserve">Podľa reprezentatívneho prieskumu Transparency International Slovensko z februára 2015 až 8% populácie si za rok pozrelo aspoň jednu zmluvu či faktúru na internete. Podľa našich skúseností ide prevažne o faktúry obcí, ktoré si občania vedia porovnať s realitou ľahšie ako veľké zmluvy v štátnej správe. Posilňuje to teda zapojenie občanov do kontroly výdavkov v obciach, ktorá je pri nedostatku nezávislých médií či mimovládnych organizácií v miestnej samospráve obzvlášť slabá. Podľa prepočtov na základe </w:t>
      </w:r>
      <w:r w:rsidR="00E0230C">
        <w:rPr>
          <w:rFonts w:ascii="Times New Roman" w:hAnsi="Times New Roman"/>
          <w:sz w:val="24"/>
          <w:szCs w:val="24"/>
        </w:rPr>
        <w:t xml:space="preserve">reprezentatívnej </w:t>
      </w:r>
      <w:r w:rsidR="00AC19B9">
        <w:rPr>
          <w:rFonts w:ascii="Times New Roman" w:hAnsi="Times New Roman"/>
          <w:sz w:val="24"/>
          <w:szCs w:val="24"/>
        </w:rPr>
        <w:t xml:space="preserve">vzorky </w:t>
      </w:r>
      <w:r w:rsidR="00E0230C">
        <w:rPr>
          <w:rFonts w:ascii="Times New Roman" w:hAnsi="Times New Roman"/>
          <w:sz w:val="24"/>
          <w:szCs w:val="24"/>
        </w:rPr>
        <w:t xml:space="preserve">35 </w:t>
      </w:r>
      <w:r w:rsidR="00AC19B9">
        <w:rPr>
          <w:rFonts w:ascii="Times New Roman" w:hAnsi="Times New Roman"/>
          <w:sz w:val="24"/>
          <w:szCs w:val="24"/>
        </w:rPr>
        <w:t xml:space="preserve">obcí a miest až štvrtina zverejnených faktúr je do sumy 50 eur, polovica počtu do 200 eur a viac ako 90 percent do 3 tisíc eur. </w:t>
      </w:r>
      <w:r w:rsidR="00EF680E">
        <w:rPr>
          <w:rFonts w:ascii="Times New Roman" w:hAnsi="Times New Roman"/>
          <w:sz w:val="24"/>
          <w:szCs w:val="24"/>
        </w:rPr>
        <w:t>Celkový odhadovaný objem faktúr do 200 eur tvorí ročne v samosprávach odhadom Transparency cez 40</w:t>
      </w:r>
      <w:r w:rsidR="00157599">
        <w:rPr>
          <w:rFonts w:ascii="Times New Roman" w:hAnsi="Times New Roman"/>
          <w:sz w:val="24"/>
          <w:szCs w:val="24"/>
        </w:rPr>
        <w:t xml:space="preserve"> </w:t>
      </w:r>
      <w:r w:rsidR="00EF680E">
        <w:rPr>
          <w:rFonts w:ascii="Times New Roman" w:hAnsi="Times New Roman"/>
          <w:sz w:val="24"/>
          <w:szCs w:val="24"/>
        </w:rPr>
        <w:t xml:space="preserve"> miliónov eur. </w:t>
      </w:r>
      <w:r w:rsidR="00AC19B9">
        <w:rPr>
          <w:rFonts w:ascii="Times New Roman" w:hAnsi="Times New Roman"/>
          <w:sz w:val="24"/>
          <w:szCs w:val="24"/>
        </w:rPr>
        <w:t xml:space="preserve">To ukazuje, že aj relatívne nízke limity určené vládou by zneprístupnili veľké množstvo faktúr a objednávok. Navyše by to obce mohlo zvádzať k umelému deleniu faktúr na menšie, „podlimitné“ sumy. </w:t>
      </w:r>
    </w:p>
    <w:p w:rsidR="004D0132" w:rsidRDefault="004D0132" w:rsidP="00E5758F">
      <w:pPr>
        <w:pBdr>
          <w:bottom w:val="single" w:sz="6" w:space="1" w:color="auto"/>
        </w:pBdr>
        <w:spacing w:line="240" w:lineRule="auto"/>
        <w:jc w:val="both"/>
        <w:rPr>
          <w:rFonts w:ascii="Times New Roman" w:hAnsi="Times New Roman"/>
          <w:sz w:val="24"/>
          <w:szCs w:val="24"/>
        </w:rPr>
      </w:pPr>
    </w:p>
    <w:p w:rsidR="009B11A3" w:rsidRDefault="009B11A3" w:rsidP="00E5758F">
      <w:pPr>
        <w:spacing w:line="240" w:lineRule="auto"/>
        <w:jc w:val="both"/>
        <w:rPr>
          <w:rFonts w:ascii="Times New Roman" w:hAnsi="Times New Roman"/>
          <w:b/>
          <w:sz w:val="24"/>
          <w:szCs w:val="24"/>
        </w:rPr>
      </w:pPr>
    </w:p>
    <w:p w:rsidR="009B11A3" w:rsidRDefault="009B11A3" w:rsidP="00E5758F">
      <w:pPr>
        <w:spacing w:line="240" w:lineRule="auto"/>
        <w:jc w:val="both"/>
        <w:rPr>
          <w:rFonts w:ascii="Times New Roman" w:hAnsi="Times New Roman"/>
          <w:b/>
          <w:sz w:val="24"/>
          <w:szCs w:val="24"/>
        </w:rPr>
      </w:pPr>
    </w:p>
    <w:p w:rsidR="00915493" w:rsidRDefault="00915493" w:rsidP="00E5758F">
      <w:pPr>
        <w:spacing w:line="240" w:lineRule="auto"/>
        <w:jc w:val="both"/>
        <w:rPr>
          <w:rFonts w:ascii="Times New Roman" w:hAnsi="Times New Roman"/>
          <w:b/>
          <w:sz w:val="24"/>
          <w:szCs w:val="24"/>
        </w:rPr>
      </w:pPr>
      <w:bookmarkStart w:id="0" w:name="_GoBack"/>
      <w:bookmarkEnd w:id="0"/>
      <w:r w:rsidRPr="00915493">
        <w:rPr>
          <w:rFonts w:ascii="Times New Roman" w:hAnsi="Times New Roman"/>
          <w:b/>
          <w:sz w:val="24"/>
          <w:szCs w:val="24"/>
        </w:rPr>
        <w:lastRenderedPageBreak/>
        <w:t>3.</w:t>
      </w:r>
    </w:p>
    <w:p w:rsidR="0036099F" w:rsidRDefault="0036099F" w:rsidP="00E5758F">
      <w:pPr>
        <w:spacing w:line="240" w:lineRule="auto"/>
        <w:jc w:val="both"/>
        <w:rPr>
          <w:rFonts w:ascii="Times New Roman" w:hAnsi="Times New Roman"/>
          <w:b/>
          <w:sz w:val="24"/>
          <w:szCs w:val="24"/>
        </w:rPr>
      </w:pPr>
      <w:r>
        <w:rPr>
          <w:rFonts w:ascii="Times New Roman" w:hAnsi="Times New Roman"/>
          <w:b/>
          <w:sz w:val="24"/>
          <w:szCs w:val="24"/>
        </w:rPr>
        <w:t>K</w:t>
      </w:r>
      <w:r w:rsidR="00157599">
        <w:rPr>
          <w:rFonts w:ascii="Times New Roman" w:hAnsi="Times New Roman"/>
          <w:b/>
          <w:sz w:val="24"/>
          <w:szCs w:val="24"/>
        </w:rPr>
        <w:t> neexistencii</w:t>
      </w:r>
      <w:r w:rsidR="00AC19B9">
        <w:rPr>
          <w:rFonts w:ascii="Times New Roman" w:hAnsi="Times New Roman"/>
          <w:b/>
          <w:sz w:val="24"/>
          <w:szCs w:val="24"/>
        </w:rPr>
        <w:t xml:space="preserve"> dohľadového orgánu</w:t>
      </w:r>
      <w:r>
        <w:rPr>
          <w:rFonts w:ascii="Times New Roman" w:hAnsi="Times New Roman"/>
          <w:b/>
          <w:sz w:val="24"/>
          <w:szCs w:val="24"/>
        </w:rPr>
        <w:t>:</w:t>
      </w:r>
    </w:p>
    <w:p w:rsidR="00915493" w:rsidRPr="0036099F" w:rsidRDefault="00915493" w:rsidP="00E5758F">
      <w:pPr>
        <w:spacing w:line="240" w:lineRule="auto"/>
        <w:jc w:val="both"/>
        <w:rPr>
          <w:rFonts w:ascii="Times New Roman" w:hAnsi="Times New Roman"/>
          <w:sz w:val="24"/>
          <w:szCs w:val="24"/>
        </w:rPr>
      </w:pPr>
      <w:r w:rsidRPr="0036099F">
        <w:rPr>
          <w:rFonts w:ascii="Times New Roman" w:hAnsi="Times New Roman"/>
          <w:sz w:val="24"/>
          <w:szCs w:val="24"/>
        </w:rPr>
        <w:t xml:space="preserve">Navrhujeme do návrhu zákona doplniť </w:t>
      </w:r>
      <w:r w:rsidR="00AC19B9">
        <w:rPr>
          <w:rFonts w:ascii="Times New Roman" w:hAnsi="Times New Roman"/>
          <w:sz w:val="24"/>
          <w:szCs w:val="24"/>
        </w:rPr>
        <w:t xml:space="preserve">body ustanovujúce nový </w:t>
      </w:r>
      <w:proofErr w:type="spellStart"/>
      <w:r w:rsidR="00AC19B9">
        <w:rPr>
          <w:rFonts w:ascii="Times New Roman" w:hAnsi="Times New Roman"/>
          <w:sz w:val="24"/>
          <w:szCs w:val="24"/>
        </w:rPr>
        <w:t>dohľadový</w:t>
      </w:r>
      <w:proofErr w:type="spellEnd"/>
      <w:r w:rsidR="00AC19B9">
        <w:rPr>
          <w:rFonts w:ascii="Times New Roman" w:hAnsi="Times New Roman"/>
          <w:sz w:val="24"/>
          <w:szCs w:val="24"/>
        </w:rPr>
        <w:t xml:space="preserve"> orgán na</w:t>
      </w:r>
      <w:r w:rsidR="00E0230C">
        <w:rPr>
          <w:rFonts w:ascii="Times New Roman" w:hAnsi="Times New Roman"/>
          <w:sz w:val="24"/>
          <w:szCs w:val="24"/>
        </w:rPr>
        <w:t>d</w:t>
      </w:r>
      <w:r w:rsidR="00AC19B9">
        <w:rPr>
          <w:rFonts w:ascii="Times New Roman" w:hAnsi="Times New Roman"/>
          <w:sz w:val="24"/>
          <w:szCs w:val="24"/>
        </w:rPr>
        <w:t xml:space="preserve"> vymožiteľnosťou </w:t>
      </w:r>
      <w:proofErr w:type="spellStart"/>
      <w:r w:rsidR="00AC19B9">
        <w:rPr>
          <w:rFonts w:ascii="Times New Roman" w:hAnsi="Times New Roman"/>
          <w:sz w:val="24"/>
          <w:szCs w:val="24"/>
        </w:rPr>
        <w:t>infozákona</w:t>
      </w:r>
      <w:proofErr w:type="spellEnd"/>
    </w:p>
    <w:p w:rsidR="00915493" w:rsidRPr="00C657E4" w:rsidRDefault="00915493" w:rsidP="00E5758F">
      <w:pPr>
        <w:spacing w:after="0" w:line="240" w:lineRule="auto"/>
        <w:jc w:val="both"/>
        <w:rPr>
          <w:rFonts w:ascii="Times New Roman" w:hAnsi="Times New Roman"/>
          <w:sz w:val="24"/>
          <w:szCs w:val="24"/>
          <w:lang w:eastAsia="sk-SK"/>
        </w:rPr>
      </w:pPr>
    </w:p>
    <w:p w:rsidR="00915493" w:rsidRPr="00C657E4" w:rsidRDefault="00915493" w:rsidP="00E5758F">
      <w:pPr>
        <w:spacing w:after="0" w:line="240" w:lineRule="auto"/>
        <w:jc w:val="both"/>
        <w:rPr>
          <w:rFonts w:ascii="Times New Roman" w:hAnsi="Times New Roman"/>
          <w:sz w:val="24"/>
          <w:szCs w:val="24"/>
          <w:u w:val="single"/>
          <w:lang w:eastAsia="sk-SK"/>
        </w:rPr>
      </w:pPr>
      <w:r w:rsidRPr="00C657E4">
        <w:rPr>
          <w:rFonts w:ascii="Times New Roman" w:hAnsi="Times New Roman"/>
          <w:sz w:val="24"/>
          <w:szCs w:val="24"/>
          <w:u w:val="single"/>
          <w:lang w:eastAsia="sk-SK"/>
        </w:rPr>
        <w:t>Odôvodnenie:</w:t>
      </w:r>
    </w:p>
    <w:p w:rsidR="00915493" w:rsidRDefault="00682111" w:rsidP="00E5758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Podľa dlhoročných skúseností Transparency International Slovensko (rebríčky transparentnosti miest, štátnych firiem, nemocníc, stovky infožiadostí) je hlavným problémom zákona jeho nedostatočná implementácia. Rovnaké odseky si funkčne rovnaké povinné osoby vysvetľujú rôzne. Vymáhateľnosť sankcií je nízka, keďže žiadatelia o informácie väčšinou nie sú ochotné ísť v spore až </w:t>
      </w:r>
      <w:r w:rsidR="00E0230C">
        <w:rPr>
          <w:rFonts w:ascii="Times New Roman" w:hAnsi="Times New Roman"/>
          <w:color w:val="000000"/>
          <w:sz w:val="24"/>
          <w:szCs w:val="24"/>
        </w:rPr>
        <w:t>po</w:t>
      </w:r>
      <w:r>
        <w:rPr>
          <w:rFonts w:ascii="Times New Roman" w:hAnsi="Times New Roman"/>
          <w:color w:val="000000"/>
          <w:sz w:val="24"/>
          <w:szCs w:val="24"/>
        </w:rPr>
        <w:t xml:space="preserve"> finálne rozhodnuti</w:t>
      </w:r>
      <w:r w:rsidR="00E0230C">
        <w:rPr>
          <w:rFonts w:ascii="Times New Roman" w:hAnsi="Times New Roman"/>
          <w:color w:val="000000"/>
          <w:sz w:val="24"/>
          <w:szCs w:val="24"/>
        </w:rPr>
        <w:t>a</w:t>
      </w:r>
      <w:r>
        <w:rPr>
          <w:rFonts w:ascii="Times New Roman" w:hAnsi="Times New Roman"/>
          <w:color w:val="000000"/>
          <w:sz w:val="24"/>
          <w:szCs w:val="24"/>
        </w:rPr>
        <w:t xml:space="preserve"> súdm</w:t>
      </w:r>
      <w:r w:rsidR="00E0230C">
        <w:rPr>
          <w:rFonts w:ascii="Times New Roman" w:hAnsi="Times New Roman"/>
          <w:color w:val="000000"/>
          <w:sz w:val="24"/>
          <w:szCs w:val="24"/>
        </w:rPr>
        <w:t>i</w:t>
      </w:r>
      <w:r>
        <w:rPr>
          <w:rFonts w:ascii="Times New Roman" w:hAnsi="Times New Roman"/>
          <w:color w:val="000000"/>
          <w:sz w:val="24"/>
          <w:szCs w:val="24"/>
        </w:rPr>
        <w:t xml:space="preserve">. </w:t>
      </w:r>
    </w:p>
    <w:p w:rsidR="00682111" w:rsidRPr="00C657E4" w:rsidRDefault="00682111" w:rsidP="00E5758F">
      <w:pPr>
        <w:spacing w:after="0" w:line="240" w:lineRule="auto"/>
        <w:jc w:val="both"/>
        <w:rPr>
          <w:rFonts w:ascii="Times New Roman" w:hAnsi="Times New Roman"/>
          <w:sz w:val="24"/>
          <w:szCs w:val="24"/>
          <w:u w:val="single"/>
          <w:lang w:eastAsia="sk-SK"/>
        </w:rPr>
      </w:pPr>
      <w:r>
        <w:rPr>
          <w:rFonts w:ascii="Times New Roman" w:hAnsi="Times New Roman"/>
          <w:color w:val="000000"/>
          <w:sz w:val="24"/>
          <w:szCs w:val="24"/>
        </w:rPr>
        <w:t xml:space="preserve">Viaceré krajiny, vrátane Slovinska, Srbska, Nemecka či Estónska zriadili v posledných rokoch tzv. informačných komisárov, resp. úradov na dohľad nad slobodným prístupom k informáciám. Tie majú okrem dozornej a sankčnej aj metodickú funkciu pomáhať povinným osobám pri výkone ich povinností. Viac o fungovaní </w:t>
      </w:r>
      <w:proofErr w:type="spellStart"/>
      <w:r>
        <w:rPr>
          <w:rFonts w:ascii="Times New Roman" w:hAnsi="Times New Roman"/>
          <w:color w:val="000000"/>
          <w:sz w:val="24"/>
          <w:szCs w:val="24"/>
        </w:rPr>
        <w:t>infoúradov</w:t>
      </w:r>
      <w:proofErr w:type="spellEnd"/>
      <w:r>
        <w:rPr>
          <w:rFonts w:ascii="Times New Roman" w:hAnsi="Times New Roman"/>
          <w:color w:val="000000"/>
          <w:sz w:val="24"/>
          <w:szCs w:val="24"/>
        </w:rPr>
        <w:t xml:space="preserve"> v zahraničí </w:t>
      </w:r>
      <w:r w:rsidR="005F7230">
        <w:rPr>
          <w:rFonts w:ascii="Times New Roman" w:hAnsi="Times New Roman"/>
          <w:color w:val="000000"/>
          <w:sz w:val="24"/>
          <w:szCs w:val="24"/>
        </w:rPr>
        <w:t xml:space="preserve">píšeme </w:t>
      </w:r>
      <w:r>
        <w:rPr>
          <w:rFonts w:ascii="Times New Roman" w:hAnsi="Times New Roman"/>
          <w:color w:val="000000"/>
          <w:sz w:val="24"/>
          <w:szCs w:val="24"/>
        </w:rPr>
        <w:t xml:space="preserve">v publikácii Transparency na </w:t>
      </w:r>
      <w:r w:rsidRPr="00682111">
        <w:rPr>
          <w:rFonts w:ascii="Times New Roman" w:hAnsi="Times New Roman"/>
          <w:color w:val="000000"/>
          <w:sz w:val="24"/>
          <w:szCs w:val="24"/>
        </w:rPr>
        <w:t>http://www.transparency.sk/wp-content/uploads/2015/02/Slobodny-pristup-k-informaciam_Infokomisari.pdf</w:t>
      </w:r>
    </w:p>
    <w:sectPr w:rsidR="00682111" w:rsidRPr="00C657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F0" w:rsidRDefault="002A30F0" w:rsidP="00D07B7C">
      <w:pPr>
        <w:spacing w:after="0" w:line="240" w:lineRule="auto"/>
      </w:pPr>
      <w:r>
        <w:separator/>
      </w:r>
    </w:p>
  </w:endnote>
  <w:endnote w:type="continuationSeparator" w:id="0">
    <w:p w:rsidR="002A30F0" w:rsidRDefault="002A30F0" w:rsidP="00D0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F0" w:rsidRDefault="002A30F0" w:rsidP="00D07B7C">
      <w:pPr>
        <w:spacing w:after="0" w:line="240" w:lineRule="auto"/>
      </w:pPr>
      <w:r>
        <w:separator/>
      </w:r>
    </w:p>
  </w:footnote>
  <w:footnote w:type="continuationSeparator" w:id="0">
    <w:p w:rsidR="002A30F0" w:rsidRDefault="002A30F0" w:rsidP="00D07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FD" w:rsidRPr="009F33DF" w:rsidRDefault="000407FD" w:rsidP="000407FD">
    <w:pPr>
      <w:pStyle w:val="NoSpacing"/>
      <w:pBdr>
        <w:bottom w:val="single" w:sz="4" w:space="1" w:color="000000"/>
      </w:pBdr>
      <w:jc w:val="center"/>
      <w:rPr>
        <w:b/>
        <w:lang w:val="en-US"/>
      </w:rPr>
    </w:pPr>
    <w:r w:rsidRPr="009F33DF">
      <w:rPr>
        <w:noProof/>
        <w:lang w:eastAsia="sk-SK"/>
      </w:rPr>
      <w:drawing>
        <wp:anchor distT="0" distB="0" distL="114935" distR="114935" simplePos="0" relativeHeight="251659264" behindDoc="1" locked="0" layoutInCell="1" allowOverlap="1">
          <wp:simplePos x="0" y="0"/>
          <wp:positionH relativeFrom="column">
            <wp:posOffset>-69850</wp:posOffset>
          </wp:positionH>
          <wp:positionV relativeFrom="paragraph">
            <wp:posOffset>-447040</wp:posOffset>
          </wp:positionV>
          <wp:extent cx="2115185" cy="74993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304" t="24524" r="2652" b="25496"/>
                  <a:stretch>
                    <a:fillRect/>
                  </a:stretch>
                </pic:blipFill>
                <pic:spPr bwMode="auto">
                  <a:xfrm>
                    <a:off x="0" y="0"/>
                    <a:ext cx="2115185" cy="749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407FD" w:rsidRPr="009F33DF" w:rsidRDefault="000407FD" w:rsidP="000407FD">
    <w:pPr>
      <w:pStyle w:val="NoSpacing"/>
      <w:pBdr>
        <w:bottom w:val="single" w:sz="4" w:space="1" w:color="000000"/>
      </w:pBdr>
      <w:jc w:val="center"/>
      <w:rPr>
        <w:rFonts w:cs="Times New Roman"/>
        <w:b/>
      </w:rPr>
    </w:pPr>
  </w:p>
  <w:p w:rsidR="000407FD" w:rsidRPr="009F33DF" w:rsidRDefault="000407FD" w:rsidP="000407FD">
    <w:pPr>
      <w:autoSpaceDE w:val="0"/>
      <w:spacing w:after="0" w:line="240" w:lineRule="auto"/>
    </w:pPr>
    <w:r w:rsidRPr="009F33DF">
      <w:t>Bajkalská 25, 827 18 Bratislava 212, Slovensko, tel./fax: 02/5341 7207</w:t>
    </w:r>
  </w:p>
  <w:p w:rsidR="000407FD" w:rsidRPr="009F33DF" w:rsidRDefault="000407FD" w:rsidP="000407FD">
    <w:pPr>
      <w:pStyle w:val="NoSpacing"/>
      <w:rPr>
        <w:rFonts w:cs="Times New Roman"/>
      </w:rPr>
    </w:pPr>
    <w:r w:rsidRPr="009F33DF">
      <w:rPr>
        <w:rFonts w:cs="Times New Roman"/>
      </w:rPr>
      <w:t>e-mail: tis@transparency.sk, www.transparency.sk</w:t>
    </w:r>
  </w:p>
  <w:p w:rsidR="000407FD" w:rsidRDefault="00040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47EE"/>
    <w:multiLevelType w:val="hybridMultilevel"/>
    <w:tmpl w:val="944A521C"/>
    <w:lvl w:ilvl="0" w:tplc="42FAC41A">
      <w:start w:val="18"/>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01C6075"/>
    <w:multiLevelType w:val="hybridMultilevel"/>
    <w:tmpl w:val="D8B89270"/>
    <w:lvl w:ilvl="0" w:tplc="495E1F22">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0F43A09"/>
    <w:multiLevelType w:val="hybridMultilevel"/>
    <w:tmpl w:val="261EA60C"/>
    <w:lvl w:ilvl="0" w:tplc="335CC904">
      <w:start w:val="18"/>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5B"/>
    <w:rsid w:val="000407FD"/>
    <w:rsid w:val="00087037"/>
    <w:rsid w:val="00087A40"/>
    <w:rsid w:val="0009155D"/>
    <w:rsid w:val="00091FAF"/>
    <w:rsid w:val="0010621F"/>
    <w:rsid w:val="00157599"/>
    <w:rsid w:val="0017047A"/>
    <w:rsid w:val="0019365F"/>
    <w:rsid w:val="00253308"/>
    <w:rsid w:val="002840EE"/>
    <w:rsid w:val="00286229"/>
    <w:rsid w:val="002A30F0"/>
    <w:rsid w:val="002C3979"/>
    <w:rsid w:val="002D1556"/>
    <w:rsid w:val="00351E5F"/>
    <w:rsid w:val="0036099F"/>
    <w:rsid w:val="003A0E51"/>
    <w:rsid w:val="00456EF0"/>
    <w:rsid w:val="00495969"/>
    <w:rsid w:val="004B32FE"/>
    <w:rsid w:val="004C13A5"/>
    <w:rsid w:val="004D0132"/>
    <w:rsid w:val="00504971"/>
    <w:rsid w:val="005122F7"/>
    <w:rsid w:val="00522570"/>
    <w:rsid w:val="00543566"/>
    <w:rsid w:val="00556E16"/>
    <w:rsid w:val="005C5489"/>
    <w:rsid w:val="005F7230"/>
    <w:rsid w:val="0062114F"/>
    <w:rsid w:val="00646B34"/>
    <w:rsid w:val="00682111"/>
    <w:rsid w:val="006D5A0E"/>
    <w:rsid w:val="006F6479"/>
    <w:rsid w:val="00717985"/>
    <w:rsid w:val="00747916"/>
    <w:rsid w:val="007803AF"/>
    <w:rsid w:val="007A255B"/>
    <w:rsid w:val="007C792A"/>
    <w:rsid w:val="007E361C"/>
    <w:rsid w:val="007E7986"/>
    <w:rsid w:val="00860020"/>
    <w:rsid w:val="008D2908"/>
    <w:rsid w:val="008E35C1"/>
    <w:rsid w:val="00915493"/>
    <w:rsid w:val="00975538"/>
    <w:rsid w:val="009B11A3"/>
    <w:rsid w:val="009B2ECC"/>
    <w:rsid w:val="009F6481"/>
    <w:rsid w:val="009F729E"/>
    <w:rsid w:val="00A643BB"/>
    <w:rsid w:val="00A93717"/>
    <w:rsid w:val="00A946A5"/>
    <w:rsid w:val="00AB14A1"/>
    <w:rsid w:val="00AC19B9"/>
    <w:rsid w:val="00AD014D"/>
    <w:rsid w:val="00C657E4"/>
    <w:rsid w:val="00C97ACB"/>
    <w:rsid w:val="00D0324D"/>
    <w:rsid w:val="00D07B7C"/>
    <w:rsid w:val="00D874CD"/>
    <w:rsid w:val="00DA38E0"/>
    <w:rsid w:val="00DA6359"/>
    <w:rsid w:val="00E0230C"/>
    <w:rsid w:val="00E25C5D"/>
    <w:rsid w:val="00E5758F"/>
    <w:rsid w:val="00EF680E"/>
    <w:rsid w:val="00FE18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705F2-CFA8-4A6F-B951-D5E1808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5B"/>
    <w:rPr>
      <w:rFonts w:ascii="Calibri" w:eastAsia="Times New Roman" w:hAnsi="Calibri" w:cs="Times New Roman"/>
    </w:rPr>
  </w:style>
  <w:style w:type="paragraph" w:styleId="Heading1">
    <w:name w:val="heading 1"/>
    <w:basedOn w:val="Normal"/>
    <w:next w:val="Normal"/>
    <w:link w:val="Heading1Char"/>
    <w:uiPriority w:val="9"/>
    <w:qFormat/>
    <w:rsid w:val="00A64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3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3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43B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64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3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43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43BB"/>
    <w:rPr>
      <w:rFonts w:asciiTheme="majorHAnsi" w:eastAsiaTheme="majorEastAsia" w:hAnsiTheme="majorHAnsi" w:cstheme="majorBidi"/>
      <w:i/>
      <w:iCs/>
      <w:color w:val="4F81BD" w:themeColor="accent1"/>
      <w:spacing w:val="15"/>
      <w:sz w:val="24"/>
      <w:szCs w:val="24"/>
    </w:rPr>
  </w:style>
  <w:style w:type="paragraph" w:styleId="NoSpacing">
    <w:name w:val="No Spacing"/>
    <w:qFormat/>
    <w:rsid w:val="00A643BB"/>
    <w:pPr>
      <w:spacing w:after="0" w:line="240" w:lineRule="auto"/>
    </w:pPr>
  </w:style>
  <w:style w:type="character" w:styleId="Hyperlink">
    <w:name w:val="Hyperlink"/>
    <w:basedOn w:val="DefaultParagraphFont"/>
    <w:uiPriority w:val="99"/>
    <w:rsid w:val="007A255B"/>
    <w:rPr>
      <w:rFonts w:cs="Times New Roman"/>
      <w:color w:val="000080"/>
      <w:u w:val="single"/>
    </w:rPr>
  </w:style>
  <w:style w:type="paragraph" w:styleId="ListParagraph">
    <w:name w:val="List Paragraph"/>
    <w:basedOn w:val="Normal"/>
    <w:uiPriority w:val="34"/>
    <w:qFormat/>
    <w:rsid w:val="00DA38E0"/>
    <w:pPr>
      <w:ind w:left="720"/>
      <w:contextualSpacing/>
    </w:pPr>
  </w:style>
  <w:style w:type="paragraph" w:styleId="CommentText">
    <w:name w:val="annotation text"/>
    <w:basedOn w:val="Normal"/>
    <w:link w:val="CommentTextChar"/>
    <w:uiPriority w:val="99"/>
    <w:rsid w:val="00D07B7C"/>
    <w:pPr>
      <w:spacing w:line="240" w:lineRule="auto"/>
    </w:pPr>
    <w:rPr>
      <w:sz w:val="20"/>
      <w:szCs w:val="20"/>
    </w:rPr>
  </w:style>
  <w:style w:type="character" w:customStyle="1" w:styleId="CommentTextChar">
    <w:name w:val="Comment Text Char"/>
    <w:basedOn w:val="DefaultParagraphFont"/>
    <w:link w:val="CommentText"/>
    <w:uiPriority w:val="99"/>
    <w:rsid w:val="00D07B7C"/>
    <w:rPr>
      <w:rFonts w:ascii="Calibri" w:eastAsia="Times New Roman" w:hAnsi="Calibri" w:cs="Times New Roman"/>
      <w:sz w:val="20"/>
      <w:szCs w:val="20"/>
    </w:rPr>
  </w:style>
  <w:style w:type="paragraph" w:styleId="FootnoteText">
    <w:name w:val="footnote text"/>
    <w:basedOn w:val="Normal"/>
    <w:link w:val="FootnoteTextChar"/>
    <w:uiPriority w:val="99"/>
    <w:semiHidden/>
    <w:rsid w:val="00D07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B7C"/>
    <w:rPr>
      <w:rFonts w:ascii="Calibri" w:eastAsia="Times New Roman" w:hAnsi="Calibri" w:cs="Times New Roman"/>
      <w:sz w:val="20"/>
      <w:szCs w:val="20"/>
    </w:rPr>
  </w:style>
  <w:style w:type="character" w:styleId="FootnoteReference">
    <w:name w:val="footnote reference"/>
    <w:basedOn w:val="DefaultParagraphFont"/>
    <w:semiHidden/>
    <w:rsid w:val="00D07B7C"/>
    <w:rPr>
      <w:rFonts w:cs="Times New Roman"/>
      <w:vertAlign w:val="superscript"/>
    </w:rPr>
  </w:style>
  <w:style w:type="paragraph" w:styleId="Header">
    <w:name w:val="header"/>
    <w:basedOn w:val="Normal"/>
    <w:link w:val="HeaderChar"/>
    <w:uiPriority w:val="99"/>
    <w:unhideWhenUsed/>
    <w:rsid w:val="000407FD"/>
    <w:pPr>
      <w:tabs>
        <w:tab w:val="center" w:pos="4703"/>
        <w:tab w:val="right" w:pos="9406"/>
      </w:tabs>
      <w:spacing w:after="0" w:line="240" w:lineRule="auto"/>
    </w:pPr>
  </w:style>
  <w:style w:type="character" w:customStyle="1" w:styleId="HeaderChar">
    <w:name w:val="Header Char"/>
    <w:basedOn w:val="DefaultParagraphFont"/>
    <w:link w:val="Header"/>
    <w:uiPriority w:val="99"/>
    <w:rsid w:val="000407FD"/>
    <w:rPr>
      <w:rFonts w:ascii="Calibri" w:eastAsia="Times New Roman" w:hAnsi="Calibri" w:cs="Times New Roman"/>
    </w:rPr>
  </w:style>
  <w:style w:type="paragraph" w:styleId="Footer">
    <w:name w:val="footer"/>
    <w:basedOn w:val="Normal"/>
    <w:link w:val="FooterChar"/>
    <w:uiPriority w:val="99"/>
    <w:unhideWhenUsed/>
    <w:rsid w:val="000407FD"/>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07FD"/>
    <w:rPr>
      <w:rFonts w:ascii="Calibri" w:eastAsia="Times New Roman" w:hAnsi="Calibri" w:cs="Times New Roman"/>
    </w:rPr>
  </w:style>
  <w:style w:type="character" w:styleId="FollowedHyperlink">
    <w:name w:val="FollowedHyperlink"/>
    <w:basedOn w:val="DefaultParagraphFont"/>
    <w:uiPriority w:val="99"/>
    <w:semiHidden/>
    <w:unhideWhenUsed/>
    <w:rsid w:val="000407FD"/>
    <w:rPr>
      <w:color w:val="800080" w:themeColor="followedHyperlink"/>
      <w:u w:val="single"/>
    </w:rPr>
  </w:style>
  <w:style w:type="paragraph" w:styleId="NormalWeb">
    <w:name w:val="Normal (Web)"/>
    <w:basedOn w:val="Normal"/>
    <w:uiPriority w:val="99"/>
    <w:semiHidden/>
    <w:unhideWhenUsed/>
    <w:rsid w:val="0062114F"/>
    <w:pPr>
      <w:spacing w:before="100" w:after="100" w:line="240" w:lineRule="auto"/>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36182">
      <w:bodyDiv w:val="1"/>
      <w:marLeft w:val="0"/>
      <w:marRight w:val="0"/>
      <w:marTop w:val="0"/>
      <w:marBottom w:val="0"/>
      <w:divBdr>
        <w:top w:val="none" w:sz="0" w:space="0" w:color="auto"/>
        <w:left w:val="none" w:sz="0" w:space="0" w:color="auto"/>
        <w:bottom w:val="none" w:sz="0" w:space="0" w:color="auto"/>
        <w:right w:val="none" w:sz="0" w:space="0" w:color="auto"/>
      </w:divBdr>
    </w:div>
    <w:div w:id="10759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t.justice.gov.sk/Material/MaterialHome.aspx?instEID=-1&amp;matEID=7993&amp;langE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ViaIuris</dc:creator>
  <cp:lastModifiedBy>KH</cp:lastModifiedBy>
  <cp:revision>3</cp:revision>
  <dcterms:created xsi:type="dcterms:W3CDTF">2015-03-19T10:24:00Z</dcterms:created>
  <dcterms:modified xsi:type="dcterms:W3CDTF">2015-03-19T10:24:00Z</dcterms:modified>
</cp:coreProperties>
</file>